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48C2A" w14:textId="11DE1E71" w:rsidR="001F7D4A" w:rsidRPr="00AC33F5" w:rsidRDefault="001F7D4A" w:rsidP="001F7D4A">
      <w:pPr>
        <w:pStyle w:val="Pealkiri2"/>
        <w:rPr>
          <w:rFonts w:ascii="Times New Roman" w:hAnsi="Times New Roman" w:cs="Times New Roman"/>
          <w:color w:val="auto"/>
          <w:sz w:val="24"/>
          <w:szCs w:val="24"/>
        </w:rPr>
      </w:pPr>
      <w:bookmarkStart w:id="0" w:name="_Toc64030962"/>
      <w:r w:rsidRPr="00AC33F5">
        <w:rPr>
          <w:rFonts w:ascii="Times New Roman" w:hAnsi="Times New Roman" w:cs="Times New Roman"/>
          <w:color w:val="auto"/>
          <w:sz w:val="24"/>
          <w:szCs w:val="24"/>
        </w:rPr>
        <w:t>RAASIKU</w:t>
      </w:r>
      <w:bookmarkEnd w:id="0"/>
      <w:r w:rsidRPr="00AC33F5">
        <w:rPr>
          <w:rFonts w:ascii="Times New Roman" w:hAnsi="Times New Roman" w:cs="Times New Roman"/>
          <w:color w:val="auto"/>
          <w:sz w:val="24"/>
          <w:szCs w:val="24"/>
        </w:rPr>
        <w:t xml:space="preserve"> VALLA 202</w:t>
      </w:r>
      <w:r>
        <w:rPr>
          <w:rFonts w:ascii="Times New Roman" w:hAnsi="Times New Roman" w:cs="Times New Roman"/>
          <w:color w:val="auto"/>
          <w:sz w:val="24"/>
          <w:szCs w:val="24"/>
        </w:rPr>
        <w:t>5</w:t>
      </w:r>
      <w:r w:rsidRPr="00AC33F5">
        <w:rPr>
          <w:rFonts w:ascii="Times New Roman" w:hAnsi="Times New Roman" w:cs="Times New Roman"/>
          <w:color w:val="auto"/>
          <w:sz w:val="24"/>
          <w:szCs w:val="24"/>
        </w:rPr>
        <w:t>. AASTA EELARVE LÜHIÜLEVAADE</w:t>
      </w:r>
    </w:p>
    <w:p w14:paraId="628D47DA" w14:textId="77777777" w:rsidR="001F7D4A" w:rsidRDefault="001F7D4A"/>
    <w:p w14:paraId="7DDB9E37" w14:textId="5C5EAEEF" w:rsidR="001F7D4A" w:rsidRDefault="001F7D4A" w:rsidP="001F7D4A">
      <w:pPr>
        <w:pStyle w:val="Kehatekst"/>
        <w:spacing w:line="360" w:lineRule="auto"/>
        <w:rPr>
          <w:rFonts w:eastAsiaTheme="minorHAnsi"/>
          <w:sz w:val="24"/>
          <w:szCs w:val="24"/>
          <w:lang w:val="et-EE" w:eastAsia="ja-JP"/>
        </w:rPr>
      </w:pPr>
      <w:r w:rsidRPr="00AC33F5">
        <w:rPr>
          <w:rFonts w:eastAsiaTheme="minorHAnsi"/>
          <w:sz w:val="24"/>
          <w:szCs w:val="24"/>
          <w:lang w:val="et-EE" w:eastAsia="ja-JP"/>
        </w:rPr>
        <w:t>Raasiku Vallavolikogu kinnitas 202</w:t>
      </w:r>
      <w:r>
        <w:rPr>
          <w:rFonts w:eastAsiaTheme="minorHAnsi"/>
          <w:sz w:val="24"/>
          <w:szCs w:val="24"/>
          <w:lang w:val="et-EE" w:eastAsia="ja-JP"/>
        </w:rPr>
        <w:t>5</w:t>
      </w:r>
      <w:r w:rsidRPr="00AC33F5">
        <w:rPr>
          <w:rFonts w:eastAsiaTheme="minorHAnsi"/>
          <w:sz w:val="24"/>
          <w:szCs w:val="24"/>
          <w:lang w:val="et-EE" w:eastAsia="ja-JP"/>
        </w:rPr>
        <w:t>. aasta eelarve 1</w:t>
      </w:r>
      <w:r w:rsidR="007D3749">
        <w:rPr>
          <w:rFonts w:eastAsiaTheme="minorHAnsi"/>
          <w:sz w:val="24"/>
          <w:szCs w:val="24"/>
          <w:lang w:val="et-EE" w:eastAsia="ja-JP"/>
        </w:rPr>
        <w:t>4</w:t>
      </w:r>
      <w:r w:rsidRPr="00AC33F5">
        <w:rPr>
          <w:rFonts w:eastAsiaTheme="minorHAnsi"/>
          <w:sz w:val="24"/>
          <w:szCs w:val="24"/>
          <w:lang w:val="et-EE" w:eastAsia="ja-JP"/>
        </w:rPr>
        <w:t xml:space="preserve">. </w:t>
      </w:r>
      <w:r>
        <w:rPr>
          <w:rFonts w:eastAsiaTheme="minorHAnsi"/>
          <w:sz w:val="24"/>
          <w:szCs w:val="24"/>
          <w:lang w:val="et-EE" w:eastAsia="ja-JP"/>
        </w:rPr>
        <w:t>jaanuari</w:t>
      </w:r>
      <w:r w:rsidRPr="00AC33F5">
        <w:rPr>
          <w:rFonts w:eastAsiaTheme="minorHAnsi"/>
          <w:sz w:val="24"/>
          <w:szCs w:val="24"/>
          <w:lang w:val="et-EE" w:eastAsia="ja-JP"/>
        </w:rPr>
        <w:t xml:space="preserve"> 202</w:t>
      </w:r>
      <w:r>
        <w:rPr>
          <w:rFonts w:eastAsiaTheme="minorHAnsi"/>
          <w:sz w:val="24"/>
          <w:szCs w:val="24"/>
          <w:lang w:val="et-EE" w:eastAsia="ja-JP"/>
        </w:rPr>
        <w:t>5</w:t>
      </w:r>
      <w:r w:rsidRPr="00AC33F5">
        <w:rPr>
          <w:rFonts w:eastAsiaTheme="minorHAnsi"/>
          <w:sz w:val="24"/>
          <w:szCs w:val="24"/>
          <w:lang w:val="et-EE" w:eastAsia="ja-JP"/>
        </w:rPr>
        <w:t xml:space="preserve">. a määrusega nr </w:t>
      </w:r>
      <w:r>
        <w:rPr>
          <w:rFonts w:eastAsiaTheme="minorHAnsi"/>
          <w:sz w:val="24"/>
          <w:szCs w:val="24"/>
          <w:lang w:val="et-EE" w:eastAsia="ja-JP"/>
        </w:rPr>
        <w:t>1</w:t>
      </w:r>
      <w:r w:rsidRPr="00AC33F5">
        <w:rPr>
          <w:rFonts w:eastAsiaTheme="minorHAnsi"/>
          <w:sz w:val="24"/>
          <w:szCs w:val="24"/>
          <w:lang w:val="et-EE" w:eastAsia="ja-JP"/>
        </w:rPr>
        <w:t xml:space="preserve">. </w:t>
      </w:r>
    </w:p>
    <w:p w14:paraId="5CC25069" w14:textId="77777777" w:rsidR="001F7D4A" w:rsidRDefault="001F7D4A" w:rsidP="001F7D4A">
      <w:pPr>
        <w:pStyle w:val="Normaallaad1"/>
        <w:spacing w:line="360" w:lineRule="auto"/>
        <w:jc w:val="both"/>
        <w:rPr>
          <w:rFonts w:ascii="Times New Roman" w:hAnsi="Times New Roman"/>
          <w:sz w:val="24"/>
          <w:szCs w:val="24"/>
        </w:rPr>
      </w:pPr>
      <w:r>
        <w:rPr>
          <w:rFonts w:ascii="Times New Roman" w:hAnsi="Times New Roman"/>
          <w:sz w:val="24"/>
          <w:szCs w:val="24"/>
        </w:rPr>
        <w:t>Raasiku valla 2025. aasta eelarve koostamise aluseks on kohaliku omavalitsuse üksuse finantsjuhtimise seadus (KOFS), kohaliku omavalitsuse korralduse seadus (KOKS), Raasiku valla põhimäärus, Raasiku valla arengukava ja eelarvestrateegia aastateks 2025–2028.</w:t>
      </w:r>
    </w:p>
    <w:p w14:paraId="4E69FDC1" w14:textId="5338ADFA" w:rsidR="001F7D4A" w:rsidRDefault="001F7D4A" w:rsidP="001F7D4A">
      <w:pPr>
        <w:pStyle w:val="Normaallaad1"/>
        <w:spacing w:line="360" w:lineRule="auto"/>
        <w:jc w:val="both"/>
        <w:rPr>
          <w:rFonts w:ascii="Times New Roman" w:hAnsi="Times New Roman"/>
          <w:sz w:val="24"/>
          <w:szCs w:val="24"/>
        </w:rPr>
      </w:pPr>
      <w:r>
        <w:rPr>
          <w:rFonts w:ascii="Times New Roman" w:hAnsi="Times New Roman"/>
          <w:sz w:val="24"/>
          <w:szCs w:val="24"/>
        </w:rPr>
        <w:t>Seisuga 01.01.2025 on Raasiku valla elanike arve 5 456, mis kümne kuuga kasvas 87 elaniku võrra. See rahvaarv on aluseks 2025. aasta eelarve tulude prognoosimisel. 2024. aastal registreeriti 53 sündi ja 42 surma.</w:t>
      </w:r>
    </w:p>
    <w:p w14:paraId="7F9BEC48" w14:textId="354AE799" w:rsidR="001F7D4A" w:rsidRDefault="001F7D4A" w:rsidP="001F7D4A">
      <w:pPr>
        <w:pStyle w:val="Kehatekst"/>
        <w:spacing w:line="360" w:lineRule="auto"/>
        <w:rPr>
          <w:sz w:val="24"/>
          <w:szCs w:val="24"/>
        </w:rPr>
      </w:pPr>
      <w:r>
        <w:rPr>
          <w:sz w:val="24"/>
          <w:szCs w:val="24"/>
        </w:rPr>
        <w:t>Eelarve koostamist alustati käesoleva aasta septembris, mil sõnastati eelarve põhimõttelised seisukohad ning vaadati üle algandmete korje blanketid. Oktoobris toimusid kohtumised kõikide alaeelarvete (allüksuste ja/või valdkondlikud eelarved) eest vastutavatega (allüksuste ja/või valdkondade juhid), läbi rääkimaks 2025. aasta eelarve. Sealjuures olid eelarve koostamise aluseks 2025-2028 eelarvestrateegias kinnitatud põhimõtted, sh oluliste investeeringute kavandamine.</w:t>
      </w:r>
      <w:r w:rsidRPr="001F7D4A">
        <w:t xml:space="preserve"> </w:t>
      </w:r>
      <w:r w:rsidRPr="001F7D4A">
        <w:rPr>
          <w:sz w:val="24"/>
          <w:szCs w:val="24"/>
        </w:rPr>
        <w:t>2023. aastal ettenähtud, kuid tegemata jäänud kulutused viiakse 2024. aasta eelarvesse</w:t>
      </w:r>
      <w:r>
        <w:rPr>
          <w:sz w:val="24"/>
          <w:szCs w:val="24"/>
        </w:rPr>
        <w:t>.</w:t>
      </w:r>
    </w:p>
    <w:p w14:paraId="2532155D" w14:textId="77777777" w:rsidR="001F7D4A" w:rsidRDefault="001F7D4A" w:rsidP="001F7D4A">
      <w:pPr>
        <w:pStyle w:val="Normaallaad1"/>
        <w:spacing w:line="360" w:lineRule="auto"/>
        <w:rPr>
          <w:rFonts w:ascii="Times New Roman" w:hAnsi="Times New Roman"/>
          <w:sz w:val="24"/>
          <w:szCs w:val="24"/>
        </w:rPr>
      </w:pPr>
      <w:r>
        <w:rPr>
          <w:rFonts w:ascii="Times New Roman" w:hAnsi="Times New Roman"/>
          <w:sz w:val="24"/>
          <w:szCs w:val="24"/>
        </w:rPr>
        <w:t>Eelarve aasta koostamise peamised finantsalused :</w:t>
      </w:r>
    </w:p>
    <w:p w14:paraId="0D6A51AD" w14:textId="77777777" w:rsidR="001F7D4A" w:rsidRDefault="001F7D4A" w:rsidP="001F7D4A">
      <w:pPr>
        <w:pStyle w:val="Loendilik1"/>
        <w:numPr>
          <w:ilvl w:val="0"/>
          <w:numId w:val="1"/>
        </w:numPr>
        <w:suppressAutoHyphens w:val="0"/>
        <w:spacing w:after="160" w:line="360" w:lineRule="auto"/>
        <w:rPr>
          <w:szCs w:val="24"/>
        </w:rPr>
      </w:pPr>
      <w:r>
        <w:rPr>
          <w:szCs w:val="24"/>
        </w:rPr>
        <w:t xml:space="preserve">Residendist füüsilise isiku maksustatavast tulust 11,29% laekub omavalitsusele tulumaksu; </w:t>
      </w:r>
    </w:p>
    <w:p w14:paraId="42CC18DD" w14:textId="77777777" w:rsidR="001F7D4A" w:rsidRDefault="001F7D4A" w:rsidP="001F7D4A">
      <w:pPr>
        <w:pStyle w:val="Loendilik1"/>
        <w:numPr>
          <w:ilvl w:val="0"/>
          <w:numId w:val="1"/>
        </w:numPr>
        <w:suppressAutoHyphens w:val="0"/>
        <w:spacing w:after="160" w:line="360" w:lineRule="auto"/>
        <w:rPr>
          <w:szCs w:val="24"/>
        </w:rPr>
      </w:pPr>
      <w:r>
        <w:rPr>
          <w:szCs w:val="24"/>
        </w:rPr>
        <w:t>Residendist füüsilise isiku riiklikust pensionist 5,5% laekub omavalitsusele tulumaksu;</w:t>
      </w:r>
    </w:p>
    <w:p w14:paraId="2AE2A6E9" w14:textId="77777777" w:rsidR="001F7D4A" w:rsidRDefault="001F7D4A" w:rsidP="001F7D4A">
      <w:pPr>
        <w:pStyle w:val="Normaallaad1"/>
        <w:suppressAutoHyphens w:val="0"/>
        <w:spacing w:line="360" w:lineRule="auto"/>
        <w:rPr>
          <w:rFonts w:ascii="Times New Roman" w:hAnsi="Times New Roman"/>
          <w:sz w:val="24"/>
          <w:szCs w:val="24"/>
        </w:rPr>
      </w:pPr>
      <w:r>
        <w:rPr>
          <w:rFonts w:ascii="Times New Roman" w:hAnsi="Times New Roman"/>
          <w:sz w:val="24"/>
          <w:szCs w:val="24"/>
        </w:rPr>
        <w:t xml:space="preserve">2024. aastal on residendist füüsilise isiku maksustatavast tulust 11,89% laekub omavalitsusele tulumaksu ja 2,5%  tulumaksu residendist füüsilise isiku riiklikust pensionist. </w:t>
      </w:r>
    </w:p>
    <w:p w14:paraId="5429FD34" w14:textId="77777777" w:rsidR="001F7D4A" w:rsidRDefault="001F7D4A" w:rsidP="001F7D4A">
      <w:pPr>
        <w:pStyle w:val="Normaallaad1"/>
        <w:suppressAutoHyphens w:val="0"/>
        <w:spacing w:line="360" w:lineRule="auto"/>
        <w:rPr>
          <w:rFonts w:ascii="Times New Roman" w:hAnsi="Times New Roman"/>
          <w:sz w:val="24"/>
          <w:szCs w:val="24"/>
        </w:rPr>
      </w:pPr>
      <w:r>
        <w:rPr>
          <w:rFonts w:ascii="Times New Roman" w:hAnsi="Times New Roman"/>
          <w:sz w:val="24"/>
          <w:szCs w:val="24"/>
        </w:rPr>
        <w:t>Töötasu alammäär 886 eurot, sh lasteaia osalustasud:</w:t>
      </w:r>
    </w:p>
    <w:p w14:paraId="69E39572" w14:textId="77777777" w:rsidR="001F7D4A" w:rsidRDefault="001F7D4A" w:rsidP="001F7D4A">
      <w:pPr>
        <w:pStyle w:val="Loendilik1"/>
        <w:numPr>
          <w:ilvl w:val="1"/>
          <w:numId w:val="1"/>
        </w:numPr>
        <w:suppressAutoHyphens w:val="0"/>
        <w:spacing w:after="160" w:line="360" w:lineRule="auto"/>
        <w:rPr>
          <w:szCs w:val="24"/>
        </w:rPr>
      </w:pPr>
      <w:r>
        <w:rPr>
          <w:szCs w:val="24"/>
        </w:rPr>
        <w:t>10% töötasu alammäärast – 88,60 eurot</w:t>
      </w:r>
    </w:p>
    <w:p w14:paraId="5AE92349" w14:textId="77777777" w:rsidR="001F7D4A" w:rsidRDefault="001F7D4A" w:rsidP="001F7D4A">
      <w:pPr>
        <w:pStyle w:val="Loendilik1"/>
        <w:numPr>
          <w:ilvl w:val="1"/>
          <w:numId w:val="1"/>
        </w:numPr>
        <w:suppressAutoHyphens w:val="0"/>
        <w:spacing w:after="160" w:line="360" w:lineRule="auto"/>
        <w:rPr>
          <w:szCs w:val="24"/>
        </w:rPr>
      </w:pPr>
      <w:r>
        <w:rPr>
          <w:szCs w:val="24"/>
        </w:rPr>
        <w:t>15% töötasu alamäärast – 132,90 eurot</w:t>
      </w:r>
    </w:p>
    <w:p w14:paraId="3CFB7E70" w14:textId="77777777" w:rsidR="001F7D4A" w:rsidRDefault="001F7D4A" w:rsidP="001F7D4A">
      <w:pPr>
        <w:pStyle w:val="Loendilik1"/>
        <w:numPr>
          <w:ilvl w:val="1"/>
          <w:numId w:val="1"/>
        </w:numPr>
        <w:suppressAutoHyphens w:val="0"/>
        <w:spacing w:after="160" w:line="360" w:lineRule="auto"/>
        <w:rPr>
          <w:szCs w:val="24"/>
        </w:rPr>
      </w:pPr>
      <w:r>
        <w:rPr>
          <w:szCs w:val="24"/>
        </w:rPr>
        <w:t>20% töötasu alammäärast e 177,20 eurot.</w:t>
      </w:r>
    </w:p>
    <w:p w14:paraId="172E5D24" w14:textId="77777777" w:rsidR="001F7D4A" w:rsidRDefault="001F7D4A" w:rsidP="001F7D4A">
      <w:pPr>
        <w:pStyle w:val="Loendilik1"/>
        <w:numPr>
          <w:ilvl w:val="0"/>
          <w:numId w:val="1"/>
        </w:numPr>
        <w:suppressAutoHyphens w:val="0"/>
        <w:spacing w:after="160" w:line="360" w:lineRule="auto"/>
        <w:rPr>
          <w:szCs w:val="24"/>
        </w:rPr>
      </w:pPr>
      <w:r>
        <w:rPr>
          <w:szCs w:val="24"/>
        </w:rPr>
        <w:t>Omavalitsuste omavaheline arvlemise riiklik alus 109 eurot õpilase kohta kuus.</w:t>
      </w:r>
    </w:p>
    <w:p w14:paraId="68B7E85F" w14:textId="77777777" w:rsidR="001F7D4A" w:rsidRDefault="001F7D4A" w:rsidP="001F7D4A">
      <w:pPr>
        <w:pStyle w:val="Loendilik1"/>
        <w:numPr>
          <w:ilvl w:val="0"/>
          <w:numId w:val="1"/>
        </w:numPr>
        <w:suppressAutoHyphens w:val="0"/>
        <w:spacing w:after="160" w:line="360" w:lineRule="auto"/>
      </w:pPr>
      <w:r>
        <w:rPr>
          <w:rStyle w:val="Liguvaikefont1"/>
          <w:szCs w:val="24"/>
        </w:rPr>
        <w:t xml:space="preserve">Õpetajate riiklik alampalk 2025. aastal on 1 820 eurot. </w:t>
      </w:r>
    </w:p>
    <w:p w14:paraId="189A32A8" w14:textId="7C014FF7" w:rsidR="001F7D4A" w:rsidRDefault="001F7D4A" w:rsidP="001F7D4A">
      <w:pPr>
        <w:pStyle w:val="Loendilik1"/>
        <w:numPr>
          <w:ilvl w:val="0"/>
          <w:numId w:val="1"/>
        </w:numPr>
        <w:suppressAutoHyphens w:val="0"/>
        <w:spacing w:after="160" w:line="360" w:lineRule="auto"/>
        <w:rPr>
          <w:szCs w:val="24"/>
        </w:rPr>
      </w:pPr>
      <w:r>
        <w:rPr>
          <w:szCs w:val="24"/>
        </w:rPr>
        <w:t>Käibemaks tõuseb 22%-</w:t>
      </w:r>
      <w:proofErr w:type="spellStart"/>
      <w:r>
        <w:rPr>
          <w:szCs w:val="24"/>
        </w:rPr>
        <w:t>lt</w:t>
      </w:r>
      <w:proofErr w:type="spellEnd"/>
      <w:r>
        <w:rPr>
          <w:szCs w:val="24"/>
        </w:rPr>
        <w:t xml:space="preserve"> 24%-</w:t>
      </w:r>
      <w:proofErr w:type="spellStart"/>
      <w:r>
        <w:rPr>
          <w:szCs w:val="24"/>
        </w:rPr>
        <w:t>le</w:t>
      </w:r>
      <w:proofErr w:type="spellEnd"/>
      <w:r>
        <w:rPr>
          <w:szCs w:val="24"/>
        </w:rPr>
        <w:t>. Eeldatav kulu ligi 85 000 eurot.</w:t>
      </w:r>
    </w:p>
    <w:p w14:paraId="2F66D24B" w14:textId="77777777" w:rsidR="001F7D4A" w:rsidRDefault="001F7D4A" w:rsidP="001F7D4A">
      <w:pPr>
        <w:pStyle w:val="Loendilik1"/>
        <w:suppressAutoHyphens w:val="0"/>
        <w:spacing w:after="160" w:line="360" w:lineRule="auto"/>
        <w:ind w:left="0"/>
        <w:rPr>
          <w:szCs w:val="24"/>
        </w:rPr>
      </w:pPr>
    </w:p>
    <w:p w14:paraId="3CF5E39D" w14:textId="77777777" w:rsidR="001F7D4A" w:rsidRDefault="001F7D4A" w:rsidP="001F7D4A">
      <w:pPr>
        <w:pStyle w:val="Loendilik1"/>
        <w:numPr>
          <w:ilvl w:val="0"/>
          <w:numId w:val="1"/>
        </w:numPr>
        <w:suppressAutoHyphens w:val="0"/>
        <w:spacing w:after="0" w:line="360" w:lineRule="auto"/>
      </w:pPr>
      <w:r>
        <w:rPr>
          <w:rStyle w:val="Liguvaikefont1"/>
          <w:rFonts w:eastAsia="Cambria"/>
        </w:rPr>
        <w:lastRenderedPageBreak/>
        <w:t>Põhitegevuse tulude kogu</w:t>
      </w:r>
      <w:r>
        <w:rPr>
          <w:rStyle w:val="Liguvaikefont1"/>
          <w:rFonts w:eastAsia="Times New Roman"/>
        </w:rPr>
        <w:t xml:space="preserve">maht on </w:t>
      </w:r>
      <w:r w:rsidRPr="00BD5CCF">
        <w:rPr>
          <w:rFonts w:eastAsia="Times New Roman"/>
          <w:color w:val="000000"/>
          <w:szCs w:val="24"/>
          <w:lang w:eastAsia="et-EE"/>
        </w:rPr>
        <w:t>12 738 653,55</w:t>
      </w:r>
      <w:r>
        <w:rPr>
          <w:rStyle w:val="Liguvaikefont1"/>
          <w:rFonts w:eastAsia="Times New Roman"/>
          <w:color w:val="000000"/>
          <w:szCs w:val="24"/>
          <w:lang w:eastAsia="et-EE"/>
        </w:rPr>
        <w:t xml:space="preserve"> </w:t>
      </w:r>
      <w:r>
        <w:rPr>
          <w:rStyle w:val="Liguvaikefont1"/>
          <w:rFonts w:eastAsia="Times New Roman"/>
          <w:b/>
          <w:bCs/>
        </w:rPr>
        <w:t xml:space="preserve"> </w:t>
      </w:r>
      <w:r>
        <w:rPr>
          <w:rStyle w:val="Liguvaikefont1"/>
          <w:rFonts w:eastAsia="Times New Roman"/>
        </w:rPr>
        <w:t xml:space="preserve">eurot (2024. aasta eelarves                     </w:t>
      </w:r>
      <w:r w:rsidRPr="00536926">
        <w:rPr>
          <w:rFonts w:eastAsia="Times New Roman"/>
          <w:color w:val="000000"/>
          <w:szCs w:val="24"/>
          <w:lang w:eastAsia="et-EE"/>
        </w:rPr>
        <w:t>12</w:t>
      </w:r>
      <w:r w:rsidRPr="00536926">
        <w:rPr>
          <w:rFonts w:eastAsia="Times New Roman"/>
          <w:color w:val="000000"/>
          <w:sz w:val="19"/>
          <w:szCs w:val="19"/>
          <w:lang w:eastAsia="et-EE"/>
        </w:rPr>
        <w:t xml:space="preserve"> </w:t>
      </w:r>
      <w:r w:rsidRPr="00536926">
        <w:rPr>
          <w:rFonts w:eastAsia="Times New Roman"/>
          <w:color w:val="000000"/>
          <w:szCs w:val="24"/>
          <w:lang w:eastAsia="et-EE"/>
        </w:rPr>
        <w:t>414 344,81</w:t>
      </w:r>
      <w:r>
        <w:rPr>
          <w:rFonts w:eastAsia="Times New Roman"/>
          <w:color w:val="000000"/>
          <w:sz w:val="19"/>
          <w:szCs w:val="19"/>
          <w:lang w:eastAsia="et-EE"/>
        </w:rPr>
        <w:t xml:space="preserve"> </w:t>
      </w:r>
      <w:r>
        <w:rPr>
          <w:rStyle w:val="Liguvaikefont1"/>
          <w:rFonts w:eastAsia="Times New Roman"/>
        </w:rPr>
        <w:t>eurot</w:t>
      </w:r>
      <w:r>
        <w:rPr>
          <w:rStyle w:val="Liguvaikefont1"/>
          <w:rFonts w:eastAsia="Times New Roman"/>
          <w:color w:val="000000"/>
        </w:rPr>
        <w:t>).</w:t>
      </w:r>
    </w:p>
    <w:p w14:paraId="4029CA63" w14:textId="77777777" w:rsidR="001F7D4A" w:rsidRDefault="001F7D4A" w:rsidP="001F7D4A">
      <w:pPr>
        <w:pStyle w:val="Loendilik1"/>
        <w:numPr>
          <w:ilvl w:val="0"/>
          <w:numId w:val="1"/>
        </w:numPr>
        <w:suppressAutoHyphens w:val="0"/>
        <w:spacing w:after="0" w:line="360" w:lineRule="auto"/>
      </w:pPr>
      <w:r>
        <w:rPr>
          <w:rStyle w:val="Liguvaikefont1"/>
          <w:rFonts w:eastAsia="Times New Roman"/>
          <w:color w:val="000000"/>
        </w:rPr>
        <w:t xml:space="preserve"> Põhitegevuse kulude kogumaht on </w:t>
      </w:r>
      <w:r w:rsidRPr="00536926">
        <w:rPr>
          <w:rFonts w:eastAsia="Times New Roman"/>
          <w:color w:val="000000"/>
          <w:szCs w:val="24"/>
          <w:lang w:eastAsia="et-EE"/>
        </w:rPr>
        <w:t>12 6</w:t>
      </w:r>
      <w:r>
        <w:rPr>
          <w:rFonts w:eastAsia="Times New Roman"/>
          <w:color w:val="000000"/>
          <w:szCs w:val="24"/>
          <w:lang w:eastAsia="et-EE"/>
        </w:rPr>
        <w:t>16</w:t>
      </w:r>
      <w:r w:rsidRPr="00536926">
        <w:rPr>
          <w:rFonts w:eastAsia="Times New Roman"/>
          <w:color w:val="000000"/>
          <w:szCs w:val="24"/>
          <w:lang w:eastAsia="et-EE"/>
        </w:rPr>
        <w:t xml:space="preserve"> </w:t>
      </w:r>
      <w:r>
        <w:rPr>
          <w:rFonts w:eastAsia="Times New Roman"/>
          <w:color w:val="000000"/>
          <w:szCs w:val="24"/>
          <w:lang w:eastAsia="et-EE"/>
        </w:rPr>
        <w:t>327</w:t>
      </w:r>
      <w:r w:rsidRPr="00536926">
        <w:rPr>
          <w:rFonts w:eastAsia="Times New Roman"/>
          <w:color w:val="000000"/>
          <w:szCs w:val="24"/>
          <w:lang w:eastAsia="et-EE"/>
        </w:rPr>
        <w:t>,</w:t>
      </w:r>
      <w:r>
        <w:rPr>
          <w:rFonts w:eastAsia="Times New Roman"/>
          <w:color w:val="000000"/>
          <w:szCs w:val="24"/>
          <w:lang w:eastAsia="et-EE"/>
        </w:rPr>
        <w:t>18</w:t>
      </w:r>
      <w:r>
        <w:rPr>
          <w:rFonts w:eastAsia="Times New Roman"/>
          <w:color w:val="000000"/>
          <w:sz w:val="19"/>
          <w:szCs w:val="19"/>
          <w:lang w:eastAsia="et-EE"/>
        </w:rPr>
        <w:t xml:space="preserve"> </w:t>
      </w:r>
      <w:r>
        <w:rPr>
          <w:rStyle w:val="Liguvaikefont1"/>
          <w:rFonts w:eastAsia="Times New Roman"/>
        </w:rPr>
        <w:t xml:space="preserve">eurot  (2024. aasta eelarves                 </w:t>
      </w:r>
      <w:r w:rsidRPr="00536926">
        <w:rPr>
          <w:rStyle w:val="Liguvaikefont1"/>
          <w:rFonts w:eastAsia="Times New Roman"/>
          <w:szCs w:val="24"/>
        </w:rPr>
        <w:t xml:space="preserve"> </w:t>
      </w:r>
      <w:r w:rsidRPr="00536926">
        <w:rPr>
          <w:rFonts w:eastAsia="Times New Roman"/>
          <w:color w:val="000000"/>
          <w:szCs w:val="24"/>
          <w:lang w:eastAsia="et-EE"/>
        </w:rPr>
        <w:t>12</w:t>
      </w:r>
      <w:r w:rsidRPr="00536926">
        <w:rPr>
          <w:rFonts w:eastAsia="Times New Roman"/>
          <w:color w:val="000000"/>
          <w:sz w:val="19"/>
          <w:szCs w:val="19"/>
          <w:lang w:eastAsia="et-EE"/>
        </w:rPr>
        <w:t xml:space="preserve"> </w:t>
      </w:r>
      <w:r w:rsidRPr="00536926">
        <w:rPr>
          <w:rFonts w:eastAsia="Times New Roman"/>
          <w:color w:val="000000"/>
          <w:szCs w:val="24"/>
          <w:lang w:eastAsia="et-EE"/>
        </w:rPr>
        <w:t>157 883,88</w:t>
      </w:r>
      <w:r>
        <w:rPr>
          <w:rFonts w:eastAsia="Times New Roman"/>
          <w:color w:val="000000"/>
          <w:sz w:val="19"/>
          <w:szCs w:val="19"/>
          <w:lang w:eastAsia="et-EE"/>
        </w:rPr>
        <w:t xml:space="preserve"> </w:t>
      </w:r>
      <w:r>
        <w:rPr>
          <w:rStyle w:val="Liguvaikefont1"/>
          <w:rFonts w:eastAsia="Times New Roman"/>
        </w:rPr>
        <w:t>eurot</w:t>
      </w:r>
      <w:r>
        <w:rPr>
          <w:rStyle w:val="Liguvaikefont1"/>
          <w:rFonts w:eastAsia="Times New Roman"/>
          <w:color w:val="000000"/>
        </w:rPr>
        <w:t>).</w:t>
      </w:r>
    </w:p>
    <w:p w14:paraId="1E461554" w14:textId="77777777" w:rsidR="001F7D4A" w:rsidRDefault="001F7D4A" w:rsidP="001F7D4A">
      <w:pPr>
        <w:pStyle w:val="Loendilik1"/>
        <w:numPr>
          <w:ilvl w:val="0"/>
          <w:numId w:val="1"/>
        </w:numPr>
        <w:suppressAutoHyphens w:val="0"/>
        <w:spacing w:after="0" w:line="360" w:lineRule="auto"/>
      </w:pPr>
      <w:r>
        <w:rPr>
          <w:rStyle w:val="Liguvaikefont1"/>
          <w:rFonts w:eastAsia="Times New Roman"/>
          <w:color w:val="000000"/>
        </w:rPr>
        <w:t xml:space="preserve">Põhitegevuse tulem on planeeritud </w:t>
      </w:r>
      <w:r w:rsidRPr="00536926">
        <w:rPr>
          <w:rFonts w:eastAsia="Times New Roman"/>
          <w:color w:val="000000"/>
          <w:szCs w:val="24"/>
          <w:lang w:eastAsia="et-EE"/>
        </w:rPr>
        <w:t>1</w:t>
      </w:r>
      <w:r>
        <w:rPr>
          <w:rFonts w:eastAsia="Times New Roman"/>
          <w:color w:val="000000"/>
          <w:szCs w:val="24"/>
          <w:lang w:eastAsia="et-EE"/>
        </w:rPr>
        <w:t>22</w:t>
      </w:r>
      <w:r w:rsidRPr="00536926">
        <w:rPr>
          <w:rFonts w:eastAsia="Times New Roman"/>
          <w:color w:val="000000"/>
          <w:szCs w:val="24"/>
          <w:lang w:eastAsia="et-EE"/>
        </w:rPr>
        <w:t xml:space="preserve"> </w:t>
      </w:r>
      <w:r>
        <w:rPr>
          <w:rFonts w:eastAsia="Times New Roman"/>
          <w:color w:val="000000"/>
          <w:szCs w:val="24"/>
          <w:lang w:eastAsia="et-EE"/>
        </w:rPr>
        <w:t>326</w:t>
      </w:r>
      <w:r w:rsidRPr="00536926">
        <w:rPr>
          <w:rFonts w:eastAsia="Times New Roman"/>
          <w:color w:val="000000"/>
          <w:szCs w:val="24"/>
          <w:lang w:eastAsia="et-EE"/>
        </w:rPr>
        <w:t>,</w:t>
      </w:r>
      <w:r>
        <w:rPr>
          <w:rFonts w:eastAsia="Times New Roman"/>
          <w:color w:val="000000"/>
          <w:szCs w:val="24"/>
          <w:lang w:eastAsia="et-EE"/>
        </w:rPr>
        <w:t>37</w:t>
      </w:r>
      <w:r>
        <w:rPr>
          <w:rFonts w:eastAsia="Times New Roman"/>
          <w:color w:val="000000"/>
          <w:sz w:val="19"/>
          <w:szCs w:val="19"/>
          <w:lang w:eastAsia="et-EE"/>
        </w:rPr>
        <w:t xml:space="preserve"> </w:t>
      </w:r>
      <w:r>
        <w:rPr>
          <w:rStyle w:val="Liguvaikefont1"/>
          <w:rFonts w:eastAsia="Times New Roman"/>
        </w:rPr>
        <w:t>eurot</w:t>
      </w:r>
      <w:r>
        <w:rPr>
          <w:rStyle w:val="Liguvaikefont1"/>
          <w:rFonts w:eastAsia="Times New Roman"/>
          <w:b/>
          <w:bCs/>
        </w:rPr>
        <w:t xml:space="preserve">  </w:t>
      </w:r>
      <w:r>
        <w:rPr>
          <w:rStyle w:val="Liguvaikefont1"/>
          <w:rFonts w:eastAsia="Times New Roman"/>
        </w:rPr>
        <w:t xml:space="preserve">(2024. aasta eelarves </w:t>
      </w:r>
      <w:r w:rsidRPr="00536926">
        <w:rPr>
          <w:rFonts w:eastAsia="Times New Roman"/>
          <w:color w:val="000000"/>
          <w:szCs w:val="24"/>
          <w:lang w:eastAsia="et-EE"/>
        </w:rPr>
        <w:t>256 460,93</w:t>
      </w:r>
      <w:r>
        <w:rPr>
          <w:rFonts w:eastAsia="Times New Roman"/>
          <w:color w:val="000000"/>
          <w:sz w:val="19"/>
          <w:szCs w:val="19"/>
          <w:lang w:eastAsia="et-EE"/>
        </w:rPr>
        <w:t xml:space="preserve"> </w:t>
      </w:r>
      <w:r>
        <w:rPr>
          <w:rStyle w:val="Liguvaikefont1"/>
          <w:rFonts w:eastAsia="Times New Roman"/>
        </w:rPr>
        <w:t>eurot).</w:t>
      </w:r>
    </w:p>
    <w:p w14:paraId="01ACF76F" w14:textId="77777777" w:rsidR="001F7D4A" w:rsidRDefault="001F7D4A" w:rsidP="001F7D4A">
      <w:pPr>
        <w:pStyle w:val="Loendilik1"/>
        <w:numPr>
          <w:ilvl w:val="0"/>
          <w:numId w:val="1"/>
        </w:numPr>
        <w:suppressAutoHyphens w:val="0"/>
        <w:spacing w:after="0" w:line="360" w:lineRule="auto"/>
      </w:pPr>
      <w:r>
        <w:rPr>
          <w:rStyle w:val="Liguvaikefont1"/>
          <w:rFonts w:eastAsia="Times New Roman"/>
        </w:rPr>
        <w:t xml:space="preserve">Investeerimistegevus kokku (= investeerimistegevuse sissetulekud – väljaminekud) on negatiivse tulemiga summas </w:t>
      </w:r>
      <w:r w:rsidRPr="00536926">
        <w:rPr>
          <w:rStyle w:val="Liguvaikefont1"/>
          <w:rFonts w:eastAsia="Times New Roman"/>
          <w:szCs w:val="24"/>
        </w:rPr>
        <w:t>–</w:t>
      </w:r>
      <w:r w:rsidRPr="00536926">
        <w:rPr>
          <w:rFonts w:eastAsia="Times New Roman"/>
          <w:color w:val="000000"/>
          <w:szCs w:val="24"/>
          <w:lang w:eastAsia="et-EE"/>
        </w:rPr>
        <w:t>3 689 595,74</w:t>
      </w:r>
      <w:r>
        <w:rPr>
          <w:rFonts w:eastAsia="Times New Roman"/>
          <w:color w:val="000000"/>
          <w:sz w:val="19"/>
          <w:szCs w:val="19"/>
          <w:lang w:eastAsia="et-EE"/>
        </w:rPr>
        <w:t xml:space="preserve"> </w:t>
      </w:r>
      <w:r>
        <w:rPr>
          <w:rStyle w:val="Liguvaikefont1"/>
          <w:rFonts w:eastAsia="Times New Roman"/>
        </w:rPr>
        <w:t>eurot. Vahe kaetakse likviidsete vahendite jäägi, sihtfinantseerimistoetuste, põhitegevuse tulemi ja laenuvahendite arvelt.</w:t>
      </w:r>
    </w:p>
    <w:p w14:paraId="51B5208E" w14:textId="77777777" w:rsidR="001F7D4A" w:rsidRPr="001F7D4A" w:rsidRDefault="001F7D4A" w:rsidP="001F7D4A">
      <w:pPr>
        <w:pStyle w:val="Loendilik1"/>
        <w:suppressAutoHyphens w:val="0"/>
        <w:spacing w:after="160" w:line="360" w:lineRule="auto"/>
        <w:ind w:left="0"/>
        <w:rPr>
          <w:szCs w:val="24"/>
        </w:rPr>
      </w:pPr>
    </w:p>
    <w:p w14:paraId="16A8D6E7" w14:textId="77777777" w:rsidR="001F7D4A" w:rsidRDefault="001F7D4A" w:rsidP="001F7D4A">
      <w:pPr>
        <w:pStyle w:val="Normaallaad1"/>
        <w:spacing w:line="360" w:lineRule="auto"/>
        <w:jc w:val="both"/>
      </w:pPr>
      <w:r>
        <w:rPr>
          <w:rStyle w:val="Liguvaikefont1"/>
          <w:rFonts w:ascii="Times New Roman" w:hAnsi="Times New Roman"/>
          <w:sz w:val="24"/>
          <w:szCs w:val="24"/>
        </w:rPr>
        <w:t xml:space="preserve">Raasiku valla 2025. aasta eelarve põhitegevuse tulud </w:t>
      </w:r>
      <w:r w:rsidRPr="00536926">
        <w:rPr>
          <w:rFonts w:ascii="Times New Roman" w:eastAsia="Times New Roman" w:hAnsi="Times New Roman"/>
          <w:color w:val="000000"/>
          <w:kern w:val="0"/>
          <w:sz w:val="24"/>
          <w:szCs w:val="24"/>
          <w:lang w:eastAsia="et-EE"/>
        </w:rPr>
        <w:t>12 738 653,55</w:t>
      </w:r>
      <w:r>
        <w:rPr>
          <w:rFonts w:ascii="Times New Roman" w:eastAsia="Times New Roman" w:hAnsi="Times New Roman"/>
          <w:color w:val="000000"/>
          <w:kern w:val="0"/>
          <w:sz w:val="19"/>
          <w:szCs w:val="19"/>
          <w:lang w:eastAsia="et-EE"/>
        </w:rPr>
        <w:t xml:space="preserve"> </w:t>
      </w:r>
      <w:r>
        <w:rPr>
          <w:rStyle w:val="Liguvaikefont1"/>
          <w:rFonts w:ascii="Times New Roman" w:hAnsi="Times New Roman"/>
          <w:sz w:val="24"/>
          <w:szCs w:val="24"/>
        </w:rPr>
        <w:t xml:space="preserve">eurot on planeeritud 2024. aastaga võrrelduna 2,61 % suuremad. Tulude kasv on põhiliselt planeeritud tulenevalt üksikisiku tulumaksueraldise kasvust, milles on arvestatud valla maksumaksjate arvu suurenemise ja kasvavate töötasudega. </w:t>
      </w:r>
    </w:p>
    <w:p w14:paraId="66490E45" w14:textId="77777777" w:rsidR="001F7D4A" w:rsidRDefault="001F7D4A" w:rsidP="001F7D4A">
      <w:pPr>
        <w:pStyle w:val="Normaallaad1"/>
        <w:spacing w:line="360" w:lineRule="auto"/>
        <w:jc w:val="both"/>
      </w:pPr>
      <w:r>
        <w:rPr>
          <w:noProof/>
        </w:rPr>
        <w:drawing>
          <wp:inline distT="0" distB="0" distL="0" distR="0" wp14:anchorId="14C9FFD1" wp14:editId="2467BD89">
            <wp:extent cx="4572000" cy="2743200"/>
            <wp:effectExtent l="0" t="0" r="0" b="0"/>
            <wp:docPr id="26543827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BB5494E" w14:textId="77777777" w:rsidR="001F7D4A" w:rsidRDefault="001F7D4A" w:rsidP="001F7D4A">
      <w:pPr>
        <w:pStyle w:val="Normaallaad1"/>
        <w:spacing w:line="360" w:lineRule="auto"/>
        <w:jc w:val="both"/>
      </w:pPr>
      <w:r>
        <w:rPr>
          <w:rStyle w:val="Liguvaikefont1"/>
          <w:rFonts w:ascii="Times New Roman" w:hAnsi="Times New Roman"/>
          <w:b/>
          <w:bCs/>
          <w:sz w:val="24"/>
          <w:szCs w:val="24"/>
        </w:rPr>
        <w:t>Joonis 1</w:t>
      </w:r>
      <w:r>
        <w:rPr>
          <w:rStyle w:val="Liguvaikefont1"/>
          <w:rFonts w:ascii="Times New Roman" w:hAnsi="Times New Roman"/>
          <w:sz w:val="24"/>
          <w:szCs w:val="24"/>
        </w:rPr>
        <w:t xml:space="preserve"> Põhitegevuse tulude jaotus 2025. aasta eelarves</w:t>
      </w:r>
    </w:p>
    <w:p w14:paraId="3A6B0095" w14:textId="1B51DA34" w:rsidR="001F7D4A" w:rsidRDefault="004F5A8B" w:rsidP="001F7D4A">
      <w:pPr>
        <w:pStyle w:val="Loendilik1"/>
        <w:suppressAutoHyphens w:val="0"/>
        <w:spacing w:after="160" w:line="360" w:lineRule="auto"/>
        <w:ind w:left="0"/>
        <w:rPr>
          <w:rStyle w:val="Liguvaikefont1"/>
          <w:szCs w:val="24"/>
        </w:rPr>
      </w:pPr>
      <w:r>
        <w:rPr>
          <w:rStyle w:val="Liguvaikefont1"/>
          <w:szCs w:val="24"/>
        </w:rPr>
        <w:t xml:space="preserve">2025. aasta põhitegevuse kulude eelarveosa kokku on planeeritud summas </w:t>
      </w:r>
      <w:r w:rsidRPr="00536926">
        <w:rPr>
          <w:rFonts w:eastAsia="Times New Roman"/>
          <w:color w:val="000000"/>
          <w:szCs w:val="24"/>
          <w:lang w:eastAsia="et-EE"/>
        </w:rPr>
        <w:t>12 6</w:t>
      </w:r>
      <w:r>
        <w:rPr>
          <w:rFonts w:eastAsia="Times New Roman"/>
          <w:color w:val="000000"/>
          <w:szCs w:val="24"/>
          <w:lang w:eastAsia="et-EE"/>
        </w:rPr>
        <w:t>16</w:t>
      </w:r>
      <w:r w:rsidRPr="00536926">
        <w:rPr>
          <w:rFonts w:eastAsia="Times New Roman"/>
          <w:color w:val="000000"/>
          <w:szCs w:val="24"/>
          <w:lang w:eastAsia="et-EE"/>
        </w:rPr>
        <w:t xml:space="preserve"> </w:t>
      </w:r>
      <w:r>
        <w:rPr>
          <w:rFonts w:eastAsia="Times New Roman"/>
          <w:color w:val="000000"/>
          <w:szCs w:val="24"/>
          <w:lang w:eastAsia="et-EE"/>
        </w:rPr>
        <w:t>327</w:t>
      </w:r>
      <w:r w:rsidRPr="00536926">
        <w:rPr>
          <w:rFonts w:eastAsia="Times New Roman"/>
          <w:color w:val="000000"/>
          <w:szCs w:val="24"/>
          <w:lang w:eastAsia="et-EE"/>
        </w:rPr>
        <w:t>,</w:t>
      </w:r>
      <w:r>
        <w:rPr>
          <w:rFonts w:eastAsia="Times New Roman"/>
          <w:color w:val="000000"/>
          <w:szCs w:val="24"/>
          <w:lang w:eastAsia="et-EE"/>
        </w:rPr>
        <w:t>18</w:t>
      </w:r>
      <w:r>
        <w:rPr>
          <w:rFonts w:eastAsia="Times New Roman"/>
          <w:color w:val="000000"/>
          <w:sz w:val="19"/>
          <w:szCs w:val="19"/>
          <w:lang w:eastAsia="et-EE"/>
        </w:rPr>
        <w:t xml:space="preserve">  </w:t>
      </w:r>
      <w:r>
        <w:rPr>
          <w:rStyle w:val="Liguvaikefont1"/>
          <w:szCs w:val="24"/>
        </w:rPr>
        <w:t>eurot, mis on 2024. aasta eelarvega võrreldes 3,77 % suuremad. Põhitegevuse kulude eelarveosas jaotatakse kulud majandusliku sisu järgi vähemalt kaheks: antavad toetused tegevuskuludeks ja muud tegevuskulud.</w:t>
      </w:r>
    </w:p>
    <w:p w14:paraId="74134AB9" w14:textId="2BB7F73E" w:rsidR="004F5A8B" w:rsidRDefault="004F5A8B" w:rsidP="001F7D4A">
      <w:pPr>
        <w:pStyle w:val="Loendilik1"/>
        <w:suppressAutoHyphens w:val="0"/>
        <w:spacing w:after="160" w:line="360" w:lineRule="auto"/>
        <w:ind w:left="0"/>
        <w:rPr>
          <w:rStyle w:val="Liguvaikefont1"/>
          <w:rFonts w:eastAsia="Cambria"/>
          <w:szCs w:val="24"/>
        </w:rPr>
      </w:pPr>
      <w:r>
        <w:rPr>
          <w:rStyle w:val="Liguvaikefont1"/>
          <w:bCs/>
          <w:szCs w:val="24"/>
        </w:rPr>
        <w:lastRenderedPageBreak/>
        <w:t>Personalikulude</w:t>
      </w:r>
      <w:r>
        <w:rPr>
          <w:rStyle w:val="Liguvaikefont1"/>
          <w:szCs w:val="24"/>
        </w:rPr>
        <w:t xml:space="preserve"> kasvuks on planeeritud 4,0 %, mille mõjutajaks on palgakasvud. </w:t>
      </w:r>
      <w:r>
        <w:rPr>
          <w:rStyle w:val="Liguvaikefont1"/>
          <w:rFonts w:eastAsia="Cambria"/>
          <w:szCs w:val="24"/>
        </w:rPr>
        <w:t>Peame olema jooksvalt konkurentsivõimelised, et mitte kaotada töötajaid, kelle asendamine hiljem võib olla oluliselt keerulisem ja kallim.</w:t>
      </w:r>
    </w:p>
    <w:p w14:paraId="4295DDDD" w14:textId="77777777" w:rsidR="004F5A8B" w:rsidRDefault="004F5A8B" w:rsidP="004F5A8B">
      <w:pPr>
        <w:pStyle w:val="Normaallaad1"/>
        <w:spacing w:line="360" w:lineRule="auto"/>
        <w:jc w:val="both"/>
      </w:pPr>
      <w:r>
        <w:rPr>
          <w:noProof/>
        </w:rPr>
        <w:drawing>
          <wp:inline distT="0" distB="0" distL="0" distR="0" wp14:anchorId="1E6AC326" wp14:editId="00CD596F">
            <wp:extent cx="3822704" cy="2062484"/>
            <wp:effectExtent l="0" t="0" r="0" b="0"/>
            <wp:docPr id="266830757"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A6D4E8A" w14:textId="77777777" w:rsidR="004F5A8B" w:rsidRDefault="004F5A8B" w:rsidP="004F5A8B">
      <w:pPr>
        <w:pStyle w:val="Normaallaad1"/>
        <w:spacing w:line="360" w:lineRule="auto"/>
        <w:jc w:val="both"/>
      </w:pPr>
      <w:r>
        <w:rPr>
          <w:rStyle w:val="Liguvaikefont1"/>
          <w:rFonts w:ascii="Times New Roman" w:hAnsi="Times New Roman"/>
          <w:b/>
          <w:bCs/>
          <w:sz w:val="24"/>
          <w:szCs w:val="24"/>
        </w:rPr>
        <w:t>Joonis 2</w:t>
      </w:r>
      <w:r>
        <w:rPr>
          <w:rStyle w:val="Liguvaikefont1"/>
          <w:rFonts w:ascii="Times New Roman" w:hAnsi="Times New Roman"/>
          <w:sz w:val="24"/>
          <w:szCs w:val="24"/>
        </w:rPr>
        <w:t xml:space="preserve"> Põhitegevuse kulude jaotus 2025. aasta eelarves</w:t>
      </w:r>
    </w:p>
    <w:p w14:paraId="4E87F6AD" w14:textId="77777777" w:rsidR="004F5A8B" w:rsidRDefault="004F5A8B" w:rsidP="004F5A8B">
      <w:pPr>
        <w:pStyle w:val="Normaallaad1"/>
        <w:spacing w:line="360" w:lineRule="auto"/>
        <w:jc w:val="both"/>
        <w:rPr>
          <w:rFonts w:ascii="Times New Roman" w:hAnsi="Times New Roman"/>
          <w:sz w:val="24"/>
          <w:szCs w:val="24"/>
        </w:rPr>
      </w:pPr>
      <w:r>
        <w:rPr>
          <w:rFonts w:ascii="Times New Roman" w:hAnsi="Times New Roman"/>
          <w:sz w:val="24"/>
          <w:szCs w:val="24"/>
        </w:rPr>
        <w:t>2025. aastal alustatakse Aruküla-</w:t>
      </w:r>
      <w:proofErr w:type="spellStart"/>
      <w:r>
        <w:rPr>
          <w:rFonts w:ascii="Times New Roman" w:hAnsi="Times New Roman"/>
          <w:sz w:val="24"/>
          <w:szCs w:val="24"/>
        </w:rPr>
        <w:t>Kalesi</w:t>
      </w:r>
      <w:proofErr w:type="spellEnd"/>
      <w:r>
        <w:rPr>
          <w:rFonts w:ascii="Times New Roman" w:hAnsi="Times New Roman"/>
          <w:sz w:val="24"/>
          <w:szCs w:val="24"/>
        </w:rPr>
        <w:t xml:space="preserve"> kergliiklustee rajamisega, investeeritakse kolme ÜVK-</w:t>
      </w:r>
      <w:proofErr w:type="spellStart"/>
      <w:r>
        <w:rPr>
          <w:rFonts w:ascii="Times New Roman" w:hAnsi="Times New Roman"/>
          <w:sz w:val="24"/>
          <w:szCs w:val="24"/>
        </w:rPr>
        <w:t>ga</w:t>
      </w:r>
      <w:proofErr w:type="spellEnd"/>
      <w:r>
        <w:rPr>
          <w:rFonts w:ascii="Times New Roman" w:hAnsi="Times New Roman"/>
          <w:sz w:val="24"/>
          <w:szCs w:val="24"/>
        </w:rPr>
        <w:t xml:space="preserve"> seotud projekti: Raasiku reoveekogumisala ühisveevärgi- ja kanalisatsiooni väljaehitamine, Aruküla reoveekogumisala ÜVK väljaehitamine ja Raasiku reoveekogumisala kirdeosa ÜVK väljaehitamine. Plaanis on ka mitmed väiksed investeeringud.</w:t>
      </w:r>
    </w:p>
    <w:p w14:paraId="510F3C10" w14:textId="77777777" w:rsidR="004F5A8B" w:rsidRDefault="004F5A8B" w:rsidP="004F5A8B">
      <w:pPr>
        <w:pStyle w:val="Normaallaad1"/>
        <w:spacing w:line="360" w:lineRule="auto"/>
        <w:jc w:val="both"/>
        <w:rPr>
          <w:rFonts w:ascii="Times New Roman" w:hAnsi="Times New Roman"/>
          <w:sz w:val="24"/>
          <w:szCs w:val="24"/>
        </w:rPr>
      </w:pPr>
      <w:r>
        <w:rPr>
          <w:rFonts w:ascii="Times New Roman" w:hAnsi="Times New Roman"/>
          <w:sz w:val="24"/>
          <w:szCs w:val="24"/>
        </w:rPr>
        <w:t xml:space="preserve">Investeeringute maksumused on kajastatud eelkalkulatsioonide alusel, täpne kulu selgub peale investeeringute teostust. Investeeringuid, millede teostus on planeeritud toetusvahendite abil, ei saa teostada, kui toetused ei realiseeru. Põhivara müügi all on kajastatud vallale kuuluvate kinnistute müük. Finantskuludena kajastuvad 2025. aastal makstavad laenuintressid, mis kasvavad tulenevalt laenukoormuse kasvust. </w:t>
      </w:r>
    </w:p>
    <w:p w14:paraId="4A0CE82F" w14:textId="77777777" w:rsidR="004F5A8B" w:rsidRDefault="004F5A8B" w:rsidP="004F5A8B">
      <w:pPr>
        <w:pStyle w:val="Normaallaad1"/>
        <w:spacing w:line="360" w:lineRule="auto"/>
        <w:jc w:val="both"/>
        <w:rPr>
          <w:rFonts w:ascii="Times New Roman" w:hAnsi="Times New Roman"/>
          <w:sz w:val="24"/>
          <w:szCs w:val="24"/>
        </w:rPr>
      </w:pPr>
      <w:r>
        <w:rPr>
          <w:rFonts w:ascii="Times New Roman" w:hAnsi="Times New Roman"/>
          <w:sz w:val="24"/>
          <w:szCs w:val="24"/>
        </w:rPr>
        <w:t>2025. aasta eelarvesse on planeeritud laenu võtmine 3 000 000 eurot ja 1 041 298,46 eurot olemasolevate laenude tagasimaksmiseks. Laenatud raha on plaanis kasutada 2025. aasta investeeringuteks.</w:t>
      </w:r>
    </w:p>
    <w:p w14:paraId="3AA40D0F" w14:textId="77777777" w:rsidR="004F5A8B" w:rsidRDefault="004F5A8B" w:rsidP="001F7D4A">
      <w:pPr>
        <w:pStyle w:val="Loendilik1"/>
        <w:suppressAutoHyphens w:val="0"/>
        <w:spacing w:after="160" w:line="360" w:lineRule="auto"/>
        <w:ind w:left="0"/>
        <w:rPr>
          <w:szCs w:val="24"/>
        </w:rPr>
      </w:pPr>
    </w:p>
    <w:p w14:paraId="0A7F8DBB" w14:textId="77777777" w:rsidR="001F7D4A" w:rsidRDefault="001F7D4A" w:rsidP="001F7D4A">
      <w:pPr>
        <w:pStyle w:val="Loendilik1"/>
        <w:suppressAutoHyphens w:val="0"/>
        <w:spacing w:after="160" w:line="360" w:lineRule="auto"/>
        <w:ind w:left="0"/>
        <w:rPr>
          <w:szCs w:val="24"/>
        </w:rPr>
      </w:pPr>
    </w:p>
    <w:p w14:paraId="1F016A50" w14:textId="77777777" w:rsidR="001F7D4A" w:rsidRDefault="001F7D4A" w:rsidP="001F7D4A">
      <w:pPr>
        <w:pStyle w:val="Loendilik1"/>
        <w:suppressAutoHyphens w:val="0"/>
        <w:spacing w:after="160" w:line="360" w:lineRule="auto"/>
        <w:ind w:left="0"/>
        <w:rPr>
          <w:szCs w:val="24"/>
        </w:rPr>
      </w:pPr>
    </w:p>
    <w:p w14:paraId="5817D423" w14:textId="77777777" w:rsidR="001F7D4A" w:rsidRPr="001F7D4A" w:rsidRDefault="001F7D4A" w:rsidP="001F7D4A">
      <w:pPr>
        <w:pStyle w:val="Kehatekst"/>
        <w:spacing w:line="360" w:lineRule="auto"/>
        <w:rPr>
          <w:rFonts w:eastAsiaTheme="minorHAnsi"/>
          <w:sz w:val="24"/>
          <w:szCs w:val="24"/>
          <w:lang w:val="et-EE" w:eastAsia="ja-JP"/>
        </w:rPr>
      </w:pPr>
    </w:p>
    <w:p w14:paraId="79DBBC81" w14:textId="77777777" w:rsidR="001F7D4A" w:rsidRPr="001F7D4A" w:rsidRDefault="001F7D4A"/>
    <w:sectPr w:rsidR="001F7D4A" w:rsidRPr="001F7D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03B8"/>
    <w:multiLevelType w:val="multilevel"/>
    <w:tmpl w:val="BF6C0630"/>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01438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4A"/>
    <w:rsid w:val="001F7D4A"/>
    <w:rsid w:val="002264AA"/>
    <w:rsid w:val="002A654A"/>
    <w:rsid w:val="004F5A8B"/>
    <w:rsid w:val="007D3749"/>
    <w:rsid w:val="00BC4B4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040C2"/>
  <w15:chartTrackingRefBased/>
  <w15:docId w15:val="{5251C96D-F636-4F79-B604-92C5BF19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1F7D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F7D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F7D4A"/>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F7D4A"/>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F7D4A"/>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F7D4A"/>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F7D4A"/>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F7D4A"/>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F7D4A"/>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F7D4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F7D4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F7D4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F7D4A"/>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F7D4A"/>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F7D4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F7D4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F7D4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F7D4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F7D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F7D4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F7D4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F7D4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F7D4A"/>
    <w:pPr>
      <w:spacing w:before="160"/>
      <w:jc w:val="center"/>
    </w:pPr>
    <w:rPr>
      <w:i/>
      <w:iCs/>
      <w:color w:val="404040" w:themeColor="text1" w:themeTint="BF"/>
    </w:rPr>
  </w:style>
  <w:style w:type="character" w:customStyle="1" w:styleId="TsitaatMrk">
    <w:name w:val="Tsitaat Märk"/>
    <w:basedOn w:val="Liguvaikefont"/>
    <w:link w:val="Tsitaat"/>
    <w:uiPriority w:val="29"/>
    <w:rsid w:val="001F7D4A"/>
    <w:rPr>
      <w:i/>
      <w:iCs/>
      <w:color w:val="404040" w:themeColor="text1" w:themeTint="BF"/>
    </w:rPr>
  </w:style>
  <w:style w:type="paragraph" w:styleId="Loendilik">
    <w:name w:val="List Paragraph"/>
    <w:basedOn w:val="Normaallaad"/>
    <w:uiPriority w:val="34"/>
    <w:qFormat/>
    <w:rsid w:val="001F7D4A"/>
    <w:pPr>
      <w:ind w:left="720"/>
      <w:contextualSpacing/>
    </w:pPr>
  </w:style>
  <w:style w:type="character" w:styleId="Selgeltmrgatavrhutus">
    <w:name w:val="Intense Emphasis"/>
    <w:basedOn w:val="Liguvaikefont"/>
    <w:uiPriority w:val="21"/>
    <w:qFormat/>
    <w:rsid w:val="001F7D4A"/>
    <w:rPr>
      <w:i/>
      <w:iCs/>
      <w:color w:val="0F4761" w:themeColor="accent1" w:themeShade="BF"/>
    </w:rPr>
  </w:style>
  <w:style w:type="paragraph" w:styleId="Selgeltmrgatavtsitaat">
    <w:name w:val="Intense Quote"/>
    <w:basedOn w:val="Normaallaad"/>
    <w:next w:val="Normaallaad"/>
    <w:link w:val="SelgeltmrgatavtsitaatMrk"/>
    <w:uiPriority w:val="30"/>
    <w:qFormat/>
    <w:rsid w:val="001F7D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F7D4A"/>
    <w:rPr>
      <w:i/>
      <w:iCs/>
      <w:color w:val="0F4761" w:themeColor="accent1" w:themeShade="BF"/>
    </w:rPr>
  </w:style>
  <w:style w:type="character" w:styleId="Selgeltmrgatavviide">
    <w:name w:val="Intense Reference"/>
    <w:basedOn w:val="Liguvaikefont"/>
    <w:uiPriority w:val="32"/>
    <w:qFormat/>
    <w:rsid w:val="001F7D4A"/>
    <w:rPr>
      <w:b/>
      <w:bCs/>
      <w:smallCaps/>
      <w:color w:val="0F4761" w:themeColor="accent1" w:themeShade="BF"/>
      <w:spacing w:val="5"/>
    </w:rPr>
  </w:style>
  <w:style w:type="paragraph" w:styleId="Kehatekst">
    <w:name w:val="Body Text"/>
    <w:basedOn w:val="Normaallaad"/>
    <w:link w:val="KehatekstMrk"/>
    <w:uiPriority w:val="99"/>
    <w:rsid w:val="001F7D4A"/>
    <w:pPr>
      <w:spacing w:after="0" w:line="240" w:lineRule="auto"/>
      <w:jc w:val="both"/>
    </w:pPr>
    <w:rPr>
      <w:rFonts w:ascii="Times New Roman" w:eastAsia="Times New Roman" w:hAnsi="Times New Roman" w:cs="Times New Roman"/>
      <w:kern w:val="0"/>
      <w:sz w:val="20"/>
      <w:szCs w:val="20"/>
      <w:lang w:val="x-none"/>
      <w14:ligatures w14:val="none"/>
    </w:rPr>
  </w:style>
  <w:style w:type="character" w:customStyle="1" w:styleId="KehatekstMrk">
    <w:name w:val="Kehatekst Märk"/>
    <w:basedOn w:val="Liguvaikefont"/>
    <w:link w:val="Kehatekst"/>
    <w:uiPriority w:val="99"/>
    <w:rsid w:val="001F7D4A"/>
    <w:rPr>
      <w:rFonts w:ascii="Times New Roman" w:eastAsia="Times New Roman" w:hAnsi="Times New Roman" w:cs="Times New Roman"/>
      <w:kern w:val="0"/>
      <w:sz w:val="20"/>
      <w:szCs w:val="20"/>
      <w:lang w:val="x-none"/>
      <w14:ligatures w14:val="none"/>
    </w:rPr>
  </w:style>
  <w:style w:type="paragraph" w:customStyle="1" w:styleId="Normaallaad1">
    <w:name w:val="Normaallaad1"/>
    <w:rsid w:val="001F7D4A"/>
    <w:pPr>
      <w:suppressAutoHyphens/>
      <w:autoSpaceDN w:val="0"/>
      <w:spacing w:line="240" w:lineRule="auto"/>
    </w:pPr>
    <w:rPr>
      <w:rFonts w:ascii="Calibri" w:eastAsia="Calibri" w:hAnsi="Calibri" w:cs="Times New Roman"/>
      <w:kern w:val="3"/>
      <w:sz w:val="22"/>
      <w:szCs w:val="22"/>
      <w14:ligatures w14:val="none"/>
    </w:rPr>
  </w:style>
  <w:style w:type="character" w:customStyle="1" w:styleId="Liguvaikefont1">
    <w:name w:val="Lõigu vaikefont1"/>
    <w:rsid w:val="001F7D4A"/>
  </w:style>
  <w:style w:type="paragraph" w:customStyle="1" w:styleId="Loendilik1">
    <w:name w:val="Loendi lõik1"/>
    <w:basedOn w:val="Normaallaad1"/>
    <w:rsid w:val="001F7D4A"/>
    <w:pPr>
      <w:spacing w:after="200" w:line="276" w:lineRule="auto"/>
      <w:ind w:left="720"/>
      <w:contextualSpacing/>
      <w:jc w:val="both"/>
    </w:pPr>
    <w:rPr>
      <w:rFonts w:ascii="Times New Roman" w:hAnsi="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image" Target="../media/image1.png"/></Relationships>
</file>

<file path=word/charts/_rels/chart2.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image" Target="../media/image1.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lIns="0" tIns="0" rIns="0" bIns="0"/>
          <a:lstStyle/>
          <a:p>
            <a:pPr marL="0" marR="0" indent="0" algn="ctr" defTabSz="914400" fontAlgn="auto" hangingPunct="1">
              <a:lnSpc>
                <a:spcPct val="100000"/>
              </a:lnSpc>
              <a:spcBef>
                <a:spcPts val="0"/>
              </a:spcBef>
              <a:spcAft>
                <a:spcPts val="0"/>
              </a:spcAft>
              <a:tabLst/>
              <a:defRPr lang="et-EE" sz="1800" b="1" i="0" u="none" strike="noStrike" kern="1200" baseline="0">
                <a:solidFill>
                  <a:srgbClr val="404040"/>
                </a:solidFill>
                <a:latin typeface="Calibri"/>
              </a:defRPr>
            </a:pPr>
            <a:r>
              <a:rPr lang="et-EE" sz="1800" b="1" i="0" u="none" strike="noStrike" kern="1200" cap="none" spc="0" baseline="0">
                <a:solidFill>
                  <a:srgbClr val="404040"/>
                </a:solidFill>
                <a:uFillTx/>
                <a:latin typeface="Calibri"/>
              </a:rPr>
              <a:t>Põhitegevuse tulud 2025. aastal</a:t>
            </a:r>
          </a:p>
        </c:rich>
      </c:tx>
      <c:layout>
        <c:manualLayout>
          <c:xMode val="edge"/>
          <c:yMode val="edge"/>
          <c:x val="0.15398600174978128"/>
          <c:y val="5.5555555555555552E-2"/>
        </c:manualLayout>
      </c:layout>
      <c:overlay val="0"/>
      <c:spPr>
        <a:noFill/>
        <a:ln>
          <a:noFill/>
        </a:ln>
      </c:spPr>
    </c:title>
    <c:autoTitleDeleted val="0"/>
    <c:view3D>
      <c:rotX val="35"/>
      <c:rotY val="360"/>
      <c:rAngAx val="0"/>
    </c:view3D>
    <c:floor>
      <c:thickness val="0"/>
      <c:spPr>
        <a:noFill/>
        <a:ln>
          <a:noFill/>
        </a:ln>
      </c:spPr>
    </c:floor>
    <c:sideWall>
      <c:thickness val="0"/>
      <c:spPr>
        <a:noFill/>
        <a:ln>
          <a:noFill/>
        </a:ln>
      </c:spPr>
    </c:sideWall>
    <c:backWall>
      <c:thickness val="0"/>
      <c:spPr>
        <a:noFill/>
        <a:ln>
          <a:noFill/>
        </a:ln>
      </c:spPr>
    </c:backWall>
    <c:plotArea>
      <c:layout/>
      <c:pie3DChart>
        <c:varyColors val="1"/>
        <c:ser>
          <c:idx val="0"/>
          <c:order val="0"/>
          <c:tx>
            <c:v>Sari1</c:v>
          </c:tx>
          <c:dPt>
            <c:idx val="0"/>
            <c:bubble3D val="0"/>
            <c:spPr>
              <a:solidFill>
                <a:srgbClr val="4472C4"/>
              </a:solidFill>
              <a:ln>
                <a:noFill/>
              </a:ln>
              <a:effectLst>
                <a:outerShdw dir="16200000" algn="tl">
                  <a:srgbClr val="000000">
                    <a:alpha val="20000"/>
                  </a:srgbClr>
                </a:outerShdw>
              </a:effectLst>
            </c:spPr>
            <c:extLst>
              <c:ext xmlns:c16="http://schemas.microsoft.com/office/drawing/2014/chart" uri="{C3380CC4-5D6E-409C-BE32-E72D297353CC}">
                <c16:uniqueId val="{00000001-5A6F-4CD8-B363-A35C05FFC68C}"/>
              </c:ext>
            </c:extLst>
          </c:dPt>
          <c:dPt>
            <c:idx val="1"/>
            <c:bubble3D val="0"/>
            <c:spPr>
              <a:solidFill>
                <a:srgbClr val="ED7D31"/>
              </a:solidFill>
              <a:ln>
                <a:noFill/>
              </a:ln>
              <a:effectLst>
                <a:outerShdw dir="16200000" algn="tl">
                  <a:srgbClr val="000000">
                    <a:alpha val="20000"/>
                  </a:srgbClr>
                </a:outerShdw>
              </a:effectLst>
            </c:spPr>
            <c:extLst>
              <c:ext xmlns:c16="http://schemas.microsoft.com/office/drawing/2014/chart" uri="{C3380CC4-5D6E-409C-BE32-E72D297353CC}">
                <c16:uniqueId val="{00000003-5A6F-4CD8-B363-A35C05FFC68C}"/>
              </c:ext>
            </c:extLst>
          </c:dPt>
          <c:dPt>
            <c:idx val="2"/>
            <c:bubble3D val="0"/>
            <c:spPr>
              <a:solidFill>
                <a:srgbClr val="A5A5A5"/>
              </a:solidFill>
              <a:ln>
                <a:noFill/>
              </a:ln>
              <a:effectLst>
                <a:outerShdw dir="16200000" algn="tl">
                  <a:srgbClr val="000000">
                    <a:alpha val="20000"/>
                  </a:srgbClr>
                </a:outerShdw>
              </a:effectLst>
            </c:spPr>
            <c:extLst>
              <c:ext xmlns:c16="http://schemas.microsoft.com/office/drawing/2014/chart" uri="{C3380CC4-5D6E-409C-BE32-E72D297353CC}">
                <c16:uniqueId val="{00000005-5A6F-4CD8-B363-A35C05FFC68C}"/>
              </c:ext>
            </c:extLst>
          </c:dPt>
          <c:dPt>
            <c:idx val="3"/>
            <c:bubble3D val="0"/>
            <c:spPr>
              <a:solidFill>
                <a:srgbClr val="FFC000"/>
              </a:solidFill>
              <a:ln>
                <a:noFill/>
              </a:ln>
              <a:effectLst>
                <a:outerShdw dir="16200000" algn="tl">
                  <a:srgbClr val="000000">
                    <a:alpha val="20000"/>
                  </a:srgbClr>
                </a:outerShdw>
              </a:effectLst>
            </c:spPr>
            <c:extLst>
              <c:ext xmlns:c16="http://schemas.microsoft.com/office/drawing/2014/chart" uri="{C3380CC4-5D6E-409C-BE32-E72D297353CC}">
                <c16:uniqueId val="{00000007-5A6F-4CD8-B363-A35C05FFC68C}"/>
              </c:ext>
            </c:extLst>
          </c:dPt>
          <c:dLbls>
            <c:dLbl>
              <c:idx val="0"/>
              <c:layout>
                <c:manualLayout>
                  <c:x val="-7.8324803149606215E-2"/>
                  <c:y val="-0.13295785943423744"/>
                </c:manualLayout>
              </c:layout>
              <c:tx>
                <c:rich>
                  <a:bodyPr/>
                  <a:lstStyle/>
                  <a:p>
                    <a:r>
                      <a:rPr lang="en-US" sz="1000" b="1" i="0" u="none" strike="noStrike" kern="1200" cap="none" spc="0" baseline="0">
                        <a:solidFill>
                          <a:srgbClr val="FFFFFF"/>
                        </a:solidFill>
                        <a:uFillTx/>
                        <a:latin typeface="Calibri"/>
                      </a:rPr>
                      <a:t>68%</a:t>
                    </a:r>
                  </a:p>
                </c:rich>
              </c:tx>
              <c:showLegendKey val="0"/>
              <c:showVal val="0"/>
              <c:showCatName val="0"/>
              <c:showSerName val="0"/>
              <c:showPercent val="1"/>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1-5A6F-4CD8-B363-A35C05FFC68C}"/>
                </c:ext>
              </c:extLst>
            </c:dLbl>
            <c:dLbl>
              <c:idx val="1"/>
              <c:layout>
                <c:manualLayout>
                  <c:x val="4.0578958880139987E-2"/>
                  <c:y val="-0.11637649460484101"/>
                </c:manualLayout>
              </c:layout>
              <c:tx>
                <c:rich>
                  <a:bodyPr/>
                  <a:lstStyle/>
                  <a:p>
                    <a:r>
                      <a:rPr lang="en-US" sz="1000" b="1" i="0" u="none" strike="noStrike" kern="1200" cap="none" spc="0" baseline="0">
                        <a:solidFill>
                          <a:srgbClr val="FFFFFF"/>
                        </a:solidFill>
                        <a:uFillTx/>
                        <a:latin typeface="Calibri"/>
                      </a:rPr>
                      <a:t>8%</a:t>
                    </a:r>
                  </a:p>
                </c:rich>
              </c:tx>
              <c:showLegendKey val="0"/>
              <c:showVal val="0"/>
              <c:showCatName val="0"/>
              <c:showSerName val="0"/>
              <c:showPercent val="1"/>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3-5A6F-4CD8-B363-A35C05FFC68C}"/>
                </c:ext>
              </c:extLst>
            </c:dLbl>
            <c:dLbl>
              <c:idx val="2"/>
              <c:layout>
                <c:manualLayout>
                  <c:x val="-3.1353893263342092E-2"/>
                  <c:y val="-3.5086759988334826E-2"/>
                </c:manualLayout>
              </c:layout>
              <c:tx>
                <c:rich>
                  <a:bodyPr/>
                  <a:lstStyle/>
                  <a:p>
                    <a:r>
                      <a:rPr lang="en-US" sz="1000" b="1" i="0" u="none" strike="noStrike" kern="1200" cap="none" spc="0" baseline="0">
                        <a:solidFill>
                          <a:srgbClr val="FFFFFF"/>
                        </a:solidFill>
                        <a:uFillTx/>
                        <a:latin typeface="Calibri"/>
                      </a:rPr>
                      <a:t>24%</a:t>
                    </a:r>
                  </a:p>
                </c:rich>
              </c:tx>
              <c:showLegendKey val="0"/>
              <c:showVal val="0"/>
              <c:showCatName val="0"/>
              <c:showSerName val="0"/>
              <c:showPercent val="1"/>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5-5A6F-4CD8-B363-A35C05FFC68C}"/>
                </c:ext>
              </c:extLst>
            </c:dLbl>
            <c:spPr>
              <a:blipFill>
                <a:blip xmlns:r="http://schemas.openxmlformats.org/officeDocument/2006/relationships" r:embed="rId1"/>
                <a:tile/>
              </a:blipFill>
              <a:ln>
                <a:noFill/>
              </a:ln>
              <a:effectLst>
                <a:outerShdw dist="38096" dir="2700000" algn="tl">
                  <a:srgbClr val="000000">
                    <a:alpha val="40000"/>
                  </a:srgbClr>
                </a:outerShdw>
              </a:effectLst>
            </c:spPr>
            <c:txPr>
              <a:bodyPr lIns="0" tIns="0" rIns="0" bIns="0"/>
              <a:lstStyle/>
              <a:p>
                <a:pPr marL="0" marR="0" indent="0" algn="ctr" defTabSz="914400" fontAlgn="auto" hangingPunct="1">
                  <a:lnSpc>
                    <a:spcPct val="100000"/>
                  </a:lnSpc>
                  <a:spcBef>
                    <a:spcPts val="0"/>
                  </a:spcBef>
                  <a:spcAft>
                    <a:spcPts val="0"/>
                  </a:spcAft>
                  <a:tabLst/>
                  <a:defRPr lang="et-EE" sz="1000" b="1" i="0" u="none" strike="noStrike" kern="1200" baseline="0">
                    <a:solidFill>
                      <a:srgbClr val="FFFFFF"/>
                    </a:solidFill>
                    <a:latin typeface="Calibri"/>
                  </a:defRPr>
                </a:pPr>
                <a:endParaRPr lang="et-EE"/>
              </a:p>
            </c:txPr>
            <c:showLegendKey val="0"/>
            <c:showVal val="0"/>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4"/>
              <c:pt idx="0">
                <c:v>Maksutulud</c:v>
              </c:pt>
              <c:pt idx="1">
                <c:v>Tulud kaupade ja teenuste müügist</c:v>
              </c:pt>
              <c:pt idx="2">
                <c:v>Saadavad toetused</c:v>
              </c:pt>
              <c:pt idx="3">
                <c:v>Muud tegevustulud</c:v>
              </c:pt>
            </c:strLit>
          </c:cat>
          <c:val>
            <c:numLit>
              <c:formatCode>General</c:formatCode>
              <c:ptCount val="4"/>
              <c:pt idx="0">
                <c:v>8093171</c:v>
              </c:pt>
              <c:pt idx="1">
                <c:v>887500</c:v>
              </c:pt>
              <c:pt idx="2">
                <c:v>3158239</c:v>
              </c:pt>
              <c:pt idx="3">
                <c:v>5000</c:v>
              </c:pt>
            </c:numLit>
          </c:val>
          <c:extLst>
            <c:ext xmlns:c16="http://schemas.microsoft.com/office/drawing/2014/chart" uri="{C3380CC4-5D6E-409C-BE32-E72D297353CC}">
              <c16:uniqueId val="{00000008-5A6F-4CD8-B363-A35C05FFC68C}"/>
            </c:ext>
          </c:extLst>
        </c:ser>
        <c:dLbls>
          <c:showLegendKey val="0"/>
          <c:showVal val="0"/>
          <c:showCatName val="0"/>
          <c:showSerName val="0"/>
          <c:showPercent val="0"/>
          <c:showBubbleSize val="0"/>
          <c:showLeaderLines val="1"/>
        </c:dLbls>
      </c:pie3DChart>
      <c:spPr>
        <a:noFill/>
        <a:ln>
          <a:noFill/>
        </a:ln>
      </c:spPr>
    </c:plotArea>
    <c:legend>
      <c:legendPos val="r"/>
      <c:overlay val="0"/>
      <c:spPr>
        <a:solidFill>
          <a:srgbClr val="F2F2F2">
            <a:alpha val="39000"/>
          </a:srgbClr>
        </a:solidFill>
        <a:ln>
          <a:noFill/>
        </a:ln>
      </c:spPr>
      <c:txPr>
        <a:bodyPr lIns="0" tIns="0" rIns="0" bIns="0"/>
        <a:lstStyle/>
        <a:p>
          <a:pPr marL="0" marR="0" indent="0" defTabSz="914400" fontAlgn="auto" hangingPunct="1">
            <a:lnSpc>
              <a:spcPct val="100000"/>
            </a:lnSpc>
            <a:spcBef>
              <a:spcPts val="0"/>
            </a:spcBef>
            <a:spcAft>
              <a:spcPts val="0"/>
            </a:spcAft>
            <a:tabLst/>
            <a:defRPr lang="et-EE" sz="900" b="0" i="0" u="none" strike="noStrike" kern="1200" baseline="0">
              <a:solidFill>
                <a:srgbClr val="404040"/>
              </a:solidFill>
              <a:latin typeface="Calibri"/>
            </a:defRPr>
          </a:pPr>
          <a:endParaRPr lang="et-EE"/>
        </a:p>
      </c:txPr>
    </c:legend>
    <c:plotVisOnly val="1"/>
    <c:dispBlanksAs val="gap"/>
    <c:showDLblsOverMax val="0"/>
  </c:chart>
  <c:spPr>
    <a:gradFill>
      <a:gsLst>
        <a:gs pos="0">
          <a:srgbClr val="FFFFFF"/>
        </a:gs>
        <a:gs pos="100000">
          <a:srgbClr val="FFFFFF"/>
        </a:gs>
      </a:gsLst>
      <a:path path="circle">
        <a:fillToRect l="50000" t="-80000" r="50000" b="180000"/>
      </a:path>
    </a:gradFill>
    <a:ln w="9528" cap="flat">
      <a:solidFill>
        <a:srgbClr val="BFBFBF"/>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t-EE"/>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lIns="0" tIns="0" rIns="0" bIns="0"/>
          <a:lstStyle/>
          <a:p>
            <a:pPr marL="0" marR="0" indent="0" algn="ctr" defTabSz="914400" fontAlgn="auto" hangingPunct="1">
              <a:lnSpc>
                <a:spcPct val="100000"/>
              </a:lnSpc>
              <a:spcBef>
                <a:spcPts val="0"/>
              </a:spcBef>
              <a:spcAft>
                <a:spcPts val="0"/>
              </a:spcAft>
              <a:tabLst/>
              <a:defRPr lang="et-EE" sz="1800" b="1" i="0" u="none" strike="noStrike" kern="1200" baseline="0">
                <a:solidFill>
                  <a:srgbClr val="404040"/>
                </a:solidFill>
                <a:latin typeface="Calibri"/>
              </a:defRPr>
            </a:pPr>
            <a:r>
              <a:rPr lang="et-EE" sz="1800" b="1" i="0" u="none" strike="noStrike" kern="1200" cap="none" spc="0" baseline="0">
                <a:solidFill>
                  <a:srgbClr val="404040"/>
                </a:solidFill>
                <a:uFillTx/>
                <a:latin typeface="Calibri"/>
              </a:rPr>
              <a:t>Põhitegevuse kulud 2025. aastal</a:t>
            </a:r>
          </a:p>
        </c:rich>
      </c:tx>
      <c:overlay val="0"/>
      <c:spPr>
        <a:noFill/>
        <a:ln>
          <a:noFill/>
        </a:ln>
      </c:spPr>
    </c:title>
    <c:autoTitleDeleted val="0"/>
    <c:view3D>
      <c:rotX val="35"/>
      <c:rotY val="360"/>
      <c:rAngAx val="0"/>
    </c:view3D>
    <c:floor>
      <c:thickness val="0"/>
      <c:spPr>
        <a:noFill/>
        <a:ln>
          <a:noFill/>
        </a:ln>
      </c:spPr>
    </c:floor>
    <c:sideWall>
      <c:thickness val="0"/>
      <c:spPr>
        <a:noFill/>
        <a:ln>
          <a:noFill/>
        </a:ln>
      </c:spPr>
    </c:sideWall>
    <c:backWall>
      <c:thickness val="0"/>
      <c:spPr>
        <a:noFill/>
        <a:ln>
          <a:noFill/>
        </a:ln>
      </c:spPr>
    </c:backWall>
    <c:plotArea>
      <c:layout/>
      <c:pie3DChart>
        <c:varyColors val="1"/>
        <c:ser>
          <c:idx val="0"/>
          <c:order val="0"/>
          <c:tx>
            <c:v>Sari1</c:v>
          </c:tx>
          <c:dPt>
            <c:idx val="0"/>
            <c:bubble3D val="0"/>
            <c:spPr>
              <a:solidFill>
                <a:srgbClr val="4472C4"/>
              </a:solidFill>
              <a:ln>
                <a:noFill/>
              </a:ln>
              <a:effectLst>
                <a:outerShdw dir="16200000" algn="tl">
                  <a:srgbClr val="000000">
                    <a:alpha val="20000"/>
                  </a:srgbClr>
                </a:outerShdw>
              </a:effectLst>
            </c:spPr>
            <c:extLst>
              <c:ext xmlns:c16="http://schemas.microsoft.com/office/drawing/2014/chart" uri="{C3380CC4-5D6E-409C-BE32-E72D297353CC}">
                <c16:uniqueId val="{00000001-DB63-4A10-B306-2E8EF747A47A}"/>
              </c:ext>
            </c:extLst>
          </c:dPt>
          <c:dPt>
            <c:idx val="1"/>
            <c:bubble3D val="0"/>
            <c:spPr>
              <a:solidFill>
                <a:srgbClr val="ED7D31"/>
              </a:solidFill>
              <a:ln>
                <a:noFill/>
              </a:ln>
              <a:effectLst>
                <a:outerShdw dir="16200000" algn="tl">
                  <a:srgbClr val="000000">
                    <a:alpha val="20000"/>
                  </a:srgbClr>
                </a:outerShdw>
              </a:effectLst>
            </c:spPr>
            <c:extLst>
              <c:ext xmlns:c16="http://schemas.microsoft.com/office/drawing/2014/chart" uri="{C3380CC4-5D6E-409C-BE32-E72D297353CC}">
                <c16:uniqueId val="{00000003-DB63-4A10-B306-2E8EF747A47A}"/>
              </c:ext>
            </c:extLst>
          </c:dPt>
          <c:dLbls>
            <c:dLbl>
              <c:idx val="0"/>
              <c:layout>
                <c:manualLayout>
                  <c:x val="-3.8960943835508965E-2"/>
                  <c:y val="-5.5169019820798304E-2"/>
                </c:manualLayout>
              </c:layout>
              <c:tx>
                <c:rich>
                  <a:bodyPr lIns="0" tIns="0" rIns="0" bIns="0"/>
                  <a:lstStyle/>
                  <a:p>
                    <a:pPr marL="0" marR="0" indent="0" algn="ctr" defTabSz="914400" fontAlgn="auto" hangingPunct="1">
                      <a:lnSpc>
                        <a:spcPct val="100000"/>
                      </a:lnSpc>
                      <a:spcBef>
                        <a:spcPts val="0"/>
                      </a:spcBef>
                      <a:spcAft>
                        <a:spcPts val="0"/>
                      </a:spcAft>
                      <a:tabLst/>
                      <a:defRPr lang="et-EE" sz="1000" b="1" i="0" u="none" strike="noStrike" kern="1200" baseline="0">
                        <a:solidFill>
                          <a:srgbClr val="FFFFFF"/>
                        </a:solidFill>
                        <a:latin typeface="Calibri"/>
                      </a:defRPr>
                    </a:pPr>
                    <a:r>
                      <a:rPr lang="en-US" sz="1000" b="1" i="0" u="none" strike="noStrike" kern="1200" cap="none" spc="0" baseline="0">
                        <a:solidFill>
                          <a:srgbClr val="FFFFFF"/>
                        </a:solidFill>
                        <a:uFillTx/>
                        <a:latin typeface="Calibri"/>
                      </a:rPr>
                      <a:t>8%</a:t>
                    </a:r>
                  </a:p>
                </c:rich>
              </c:tx>
              <c:spPr>
                <a:blipFill>
                  <a:blip xmlns:r="http://schemas.openxmlformats.org/officeDocument/2006/relationships" r:embed="rId1"/>
                  <a:tile/>
                </a:blipFill>
                <a:ln>
                  <a:noFill/>
                </a:ln>
                <a:effectLst>
                  <a:outerShdw dist="38096" dir="2700000" algn="tl">
                    <a:srgbClr val="000000">
                      <a:alpha val="40000"/>
                    </a:srgbClr>
                  </a:outerShdw>
                </a:effectLst>
              </c:spPr>
              <c:showLegendKey val="0"/>
              <c:showVal val="0"/>
              <c:showCatName val="0"/>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01-DB63-4A10-B306-2E8EF747A47A}"/>
                </c:ext>
              </c:extLst>
            </c:dLbl>
            <c:dLbl>
              <c:idx val="1"/>
              <c:tx>
                <c:rich>
                  <a:bodyPr lIns="0" tIns="0" rIns="0" bIns="0"/>
                  <a:lstStyle/>
                  <a:p>
                    <a:pPr marL="0" marR="0" indent="0" algn="ctr" defTabSz="914400" fontAlgn="auto" hangingPunct="1">
                      <a:lnSpc>
                        <a:spcPct val="100000"/>
                      </a:lnSpc>
                      <a:spcBef>
                        <a:spcPts val="0"/>
                      </a:spcBef>
                      <a:spcAft>
                        <a:spcPts val="0"/>
                      </a:spcAft>
                      <a:tabLst/>
                      <a:defRPr lang="et-EE" sz="1000" b="1" i="0" u="none" strike="noStrike" kern="1200" baseline="0">
                        <a:solidFill>
                          <a:srgbClr val="FFFFFF"/>
                        </a:solidFill>
                        <a:latin typeface="Calibri"/>
                      </a:defRPr>
                    </a:pPr>
                    <a:r>
                      <a:rPr lang="en-US" sz="1000" b="1" i="0" u="none" strike="noStrike" kern="1200" cap="none" spc="0" baseline="0">
                        <a:solidFill>
                          <a:srgbClr val="FFFFFF"/>
                        </a:solidFill>
                        <a:uFillTx/>
                        <a:latin typeface="Calibri"/>
                      </a:rPr>
                      <a:t>92%</a:t>
                    </a:r>
                  </a:p>
                </c:rich>
              </c:tx>
              <c:spPr>
                <a:blipFill>
                  <a:blip xmlns:r="http://schemas.openxmlformats.org/officeDocument/2006/relationships" r:embed="rId1"/>
                  <a:tile/>
                </a:blipFill>
                <a:ln>
                  <a:noFill/>
                </a:ln>
                <a:effectLst>
                  <a:outerShdw dist="38096" dir="2700000" algn="tl">
                    <a:srgbClr val="000000">
                      <a:alpha val="40000"/>
                    </a:srgbClr>
                  </a:outerShdw>
                </a:effectLst>
              </c:spPr>
              <c:showLegendKey val="0"/>
              <c:showVal val="0"/>
              <c:showCatName val="0"/>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03-DB63-4A10-B306-2E8EF747A47A}"/>
                </c:ext>
              </c:extLst>
            </c:dLbl>
            <c:spPr>
              <a:blipFill>
                <a:blip xmlns:r="http://schemas.openxmlformats.org/officeDocument/2006/relationships" r:embed="rId1"/>
                <a:tile/>
              </a:blipFill>
              <a:ln>
                <a:noFill/>
              </a:ln>
              <a:effectLst>
                <a:outerShdw dist="38096" dir="2700000" algn="tl">
                  <a:srgbClr val="000000">
                    <a:alpha val="40000"/>
                  </a:srgbClr>
                </a:outerShdw>
              </a:effectLst>
            </c:spPr>
            <c:txPr>
              <a:bodyPr lIns="0" tIns="0" rIns="0" bIns="0"/>
              <a:lstStyle/>
              <a:p>
                <a:pPr marL="0" marR="0" indent="0" algn="ctr" defTabSz="914400" fontAlgn="auto" hangingPunct="1">
                  <a:lnSpc>
                    <a:spcPct val="100000"/>
                  </a:lnSpc>
                  <a:spcBef>
                    <a:spcPts val="0"/>
                  </a:spcBef>
                  <a:spcAft>
                    <a:spcPts val="0"/>
                  </a:spcAft>
                  <a:tabLst/>
                  <a:defRPr lang="et-EE" sz="1000" b="1" i="0" u="none" strike="noStrike" kern="1200" baseline="0">
                    <a:solidFill>
                      <a:srgbClr val="FFFFFF"/>
                    </a:solidFill>
                    <a:latin typeface="Calibri"/>
                  </a:defRPr>
                </a:pPr>
                <a:endParaRPr lang="et-EE"/>
              </a:p>
            </c:txPr>
            <c:showLegendKey val="0"/>
            <c:showVal val="0"/>
            <c:showCatName val="0"/>
            <c:showSerName val="0"/>
            <c:showPercent val="1"/>
            <c:showBubbleSize val="0"/>
            <c:separator>; </c:separator>
            <c:showLeaderLines val="1"/>
            <c:extLst>
              <c:ext xmlns:c15="http://schemas.microsoft.com/office/drawing/2012/chart" uri="{CE6537A1-D6FC-4f65-9D91-7224C49458BB}"/>
            </c:extLst>
          </c:dLbls>
          <c:cat>
            <c:strLit>
              <c:ptCount val="2"/>
              <c:pt idx="0">
                <c:v>Antavad toetused</c:v>
              </c:pt>
              <c:pt idx="1">
                <c:v>Muud tegevuskulud</c:v>
              </c:pt>
            </c:strLit>
          </c:cat>
          <c:val>
            <c:numLit>
              <c:formatCode>General</c:formatCode>
              <c:ptCount val="2"/>
              <c:pt idx="0">
                <c:v>782081.2</c:v>
              </c:pt>
              <c:pt idx="1">
                <c:v>11248473.34</c:v>
              </c:pt>
            </c:numLit>
          </c:val>
          <c:extLst>
            <c:ext xmlns:c16="http://schemas.microsoft.com/office/drawing/2014/chart" uri="{C3380CC4-5D6E-409C-BE32-E72D297353CC}">
              <c16:uniqueId val="{00000004-DB63-4A10-B306-2E8EF747A47A}"/>
            </c:ext>
          </c:extLst>
        </c:ser>
        <c:dLbls>
          <c:showLegendKey val="0"/>
          <c:showVal val="0"/>
          <c:showCatName val="0"/>
          <c:showSerName val="0"/>
          <c:showPercent val="0"/>
          <c:showBubbleSize val="0"/>
          <c:showLeaderLines val="1"/>
        </c:dLbls>
      </c:pie3DChart>
      <c:spPr>
        <a:noFill/>
        <a:ln>
          <a:noFill/>
        </a:ln>
      </c:spPr>
    </c:plotArea>
    <c:legend>
      <c:legendPos val="r"/>
      <c:overlay val="0"/>
      <c:spPr>
        <a:solidFill>
          <a:srgbClr val="F2F2F2">
            <a:alpha val="39000"/>
          </a:srgbClr>
        </a:solidFill>
        <a:ln>
          <a:noFill/>
        </a:ln>
      </c:spPr>
      <c:txPr>
        <a:bodyPr lIns="0" tIns="0" rIns="0" bIns="0"/>
        <a:lstStyle/>
        <a:p>
          <a:pPr marL="0" marR="0" indent="0" defTabSz="914400" fontAlgn="auto" hangingPunct="1">
            <a:lnSpc>
              <a:spcPct val="100000"/>
            </a:lnSpc>
            <a:spcBef>
              <a:spcPts val="0"/>
            </a:spcBef>
            <a:spcAft>
              <a:spcPts val="0"/>
            </a:spcAft>
            <a:tabLst/>
            <a:defRPr lang="et-EE" sz="900" b="0" i="0" u="none" strike="noStrike" kern="1200" baseline="0">
              <a:solidFill>
                <a:srgbClr val="404040"/>
              </a:solidFill>
              <a:latin typeface="Calibri"/>
            </a:defRPr>
          </a:pPr>
          <a:endParaRPr lang="et-EE"/>
        </a:p>
      </c:txPr>
    </c:legend>
    <c:plotVisOnly val="1"/>
    <c:dispBlanksAs val="gap"/>
    <c:showDLblsOverMax val="0"/>
  </c:chart>
  <c:spPr>
    <a:gradFill>
      <a:gsLst>
        <a:gs pos="0">
          <a:srgbClr val="FFFFFF"/>
        </a:gs>
        <a:gs pos="100000">
          <a:srgbClr val="FFFFFF"/>
        </a:gs>
      </a:gsLst>
      <a:path path="circle">
        <a:fillToRect l="50000" t="-80000" r="50000" b="180000"/>
      </a:path>
    </a:gradFill>
    <a:ln w="9528" cap="flat">
      <a:solidFill>
        <a:srgbClr val="BFBFBF"/>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00000"/>
          </a:solidFill>
          <a:latin typeface="Calibri"/>
        </a:defRPr>
      </a:pPr>
      <a:endParaRPr lang="et-EE"/>
    </a:p>
  </c:txPr>
  <c:externalData r:id="rId2">
    <c:autoUpdate val="0"/>
  </c:externalData>
</c:chartSpac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647</Words>
  <Characters>3754</Characters>
  <Application>Microsoft Office Word</Application>
  <DocSecurity>0</DocSecurity>
  <Lines>31</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Aasma</dc:creator>
  <cp:keywords/>
  <dc:description/>
  <cp:lastModifiedBy>Jelena Aasma</cp:lastModifiedBy>
  <cp:revision>2</cp:revision>
  <dcterms:created xsi:type="dcterms:W3CDTF">2025-04-06T16:02:00Z</dcterms:created>
  <dcterms:modified xsi:type="dcterms:W3CDTF">2025-04-06T19:15:00Z</dcterms:modified>
</cp:coreProperties>
</file>